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Times New Roman" w:eastAsia="方正小标宋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/>
          <w:sz w:val="32"/>
          <w:szCs w:val="32"/>
        </w:rPr>
        <w:t>重庆工程学院调整和新建科研创新平台一览表</w:t>
      </w:r>
    </w:p>
    <w:bookmarkEnd w:id="0"/>
    <w:tbl>
      <w:tblPr>
        <w:tblStyle w:val="3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03"/>
        <w:gridCol w:w="2693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级别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平台名称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类别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目前状态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处理意见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归属单位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厅局级以上平台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中华文化动漫研发传播中心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重庆市普及基地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重庆市数字影视与新媒体工程技术研究中心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市级工程技术研究中心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虚拟现实（VR）应用技术研究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市级创新团队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高校成果转化中心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市教委高校创新驱动专项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已验收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调整为业务工作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金融大数据智能应用重庆市高校工程研究中心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市教委智能领域科技创新平台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大数据与人工智能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智能制造物联网应用技术研究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市教委高校创新研究群体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计算机与物联网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校级平台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云计算虚拟化技术与应用工程技术研究中心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完成建设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保留建设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计算机与物联网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人工智能与大数据研究所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继续建设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大数据与人工智能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区（县）域电子商务发展协同创新中心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在建</w:t>
            </w:r>
          </w:p>
        </w:tc>
        <w:tc>
          <w:tcPr>
            <w:tcW w:w="141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合并为电子商务协同创新中心</w:t>
            </w: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整合营销传播研究中心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在建</w:t>
            </w:r>
          </w:p>
        </w:tc>
        <w:tc>
          <w:tcPr>
            <w:tcW w:w="141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智能通信与工业互联网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立项新建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电子信息学院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软件学院平台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论证新建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土木工程学院平台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校级科研平台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论证新建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26262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62626"/>
                <w:sz w:val="24"/>
                <w:szCs w:val="24"/>
              </w:rPr>
              <w:t>土木工程学院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20B43"/>
    <w:rsid w:val="493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2020-11-26T16:31:00Z</dcterms:created>
  <dc:creator>玫明欢</dc:creator>
  <cp:lastModifiedBy>玫明欢</cp:lastModifiedBy>
  <dcterms:modified xsi:type="dcterms:W3CDTF">2020-11-26T16:32:15Z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